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19D" w:rsidRPr="007B11D3" w:rsidRDefault="0049119D" w:rsidP="004911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  <w:t>Questions à choix multiples</w:t>
      </w:r>
    </w:p>
    <w:p w:rsidR="0049119D" w:rsidRPr="007B11D3" w:rsidRDefault="0049119D" w:rsidP="0049119D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u w:val="single"/>
          <w:lang w:eastAsia="fr-FR"/>
          <w14:ligatures w14:val="none"/>
        </w:rPr>
        <w:t>Coche la bonne réponse. Il n’y a qu’une bonne réponse.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1. Combien d’hypermarchés CORA vont fermer d’ici 2026 ?</w:t>
      </w:r>
      <w:r>
        <w:rPr>
          <w:rFonts w:eastAsia="Times New Roman" w:cstheme="minorHAnsi"/>
          <w:b/>
          <w:bCs/>
          <w:kern w:val="0"/>
          <w:lang w:eastAsia="fr-FR"/>
          <w14:ligatures w14:val="none"/>
        </w:rPr>
        <w:t xml:space="preserve">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5</w:t>
      </w:r>
      <w:r>
        <w:rPr>
          <w:rFonts w:eastAsia="Times New Roman" w:cstheme="minorHAnsi"/>
          <w:kern w:val="0"/>
          <w:lang w:eastAsia="fr-FR"/>
          <w14:ligatures w14:val="none"/>
        </w:rPr>
        <w:t xml:space="preserve">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7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9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2. Combien de travailleurs sont concernés par la fermeture des CORA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1200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B. 1500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C. 1800 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3. Pourquoi le modèle des hypermarchés CORA ne fonctionne-t-il plus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Les prix sont trop élevés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Les consommateurs préfèrent les commerces plus petits et proches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Les employés sont mal formés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4. Quels types de magasins concurrencent CORA aujourd’hui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Les grands centres commerciaux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Les magasins discount et le commerce en ligne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Les marchés hebdomadaires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5. Que sont devenus les hypermarchés CORA au fil des années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Des entrepôts logistiques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Des galeries commerciales avec des boutiques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Des centres culturels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6. Quelle conséquence pourrait avoir la fermeture des hypermarchés sur les galeries commerciales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Elles vont être agrandies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Elles pourraient aussi fermer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Elles vont devenir des centres de formation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7. À quoi sert une cellule de reconversion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À redistribuer les stocks invendus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À aider les travailleurs licenciés à retrouver un emploi ou à se former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À évaluer les pertes de l’entreprise</w:t>
      </w:r>
    </w:p>
    <w:p w:rsidR="0049119D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8. Quelle est la nouvelle mesure concernant la durée du chômage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Illimitée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B. Réduite à 2 ans 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C. Allongée à 5 ans</w:t>
      </w:r>
    </w:p>
    <w:p w:rsidR="0049119D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9. Que risque un travailleur proche de la pension avec les nouvelles mesures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A. Un départ anticipé avec bonus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>B. Un congé payé à vie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  <w:t xml:space="preserve">C. Une perte financière s’il part avant l’âge officiel </w:t>
      </w:r>
    </w:p>
    <w:p w:rsidR="0049119D" w:rsidRPr="007B11D3" w:rsidRDefault="0049119D" w:rsidP="0049119D">
      <w:pPr>
        <w:spacing w:before="100" w:beforeAutospacing="1" w:after="100" w:afterAutospacing="1"/>
        <w:rPr>
          <w:rFonts w:eastAsia="Times New Roman" w:cstheme="minorHAnsi"/>
          <w:kern w:val="0"/>
          <w:lang w:val="en-US" w:eastAsia="fr-FR"/>
          <w14:ligatures w14:val="none"/>
        </w:rPr>
      </w:pPr>
      <w:r w:rsidRPr="007B11D3">
        <w:rPr>
          <w:rFonts w:eastAsia="Times New Roman" w:cstheme="minorHAnsi"/>
          <w:b/>
          <w:bCs/>
          <w:kern w:val="0"/>
          <w:lang w:eastAsia="fr-FR"/>
          <w14:ligatures w14:val="none"/>
        </w:rPr>
        <w:t>10. Quelles autres entreprises sont mentionnées comme ayant fermé récemment ?</w:t>
      </w:r>
      <w:r w:rsidRPr="007B11D3">
        <w:rPr>
          <w:rFonts w:eastAsia="Times New Roman" w:cstheme="minorHAnsi"/>
          <w:kern w:val="0"/>
          <w:lang w:eastAsia="fr-FR"/>
          <w14:ligatures w14:val="none"/>
        </w:rPr>
        <w:br/>
      </w:r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A. IKEA, C&amp;A, Carrefour</w:t>
      </w:r>
      <w:r w:rsidRPr="007B11D3">
        <w:rPr>
          <w:rFonts w:eastAsia="Times New Roman" w:cstheme="minorHAnsi"/>
          <w:kern w:val="0"/>
          <w:lang w:val="en-US" w:eastAsia="fr-FR"/>
          <w14:ligatures w14:val="none"/>
        </w:rPr>
        <w:br/>
        <w:t xml:space="preserve">B. Audi, </w:t>
      </w:r>
      <w:proofErr w:type="spellStart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LunchGarden</w:t>
      </w:r>
      <w:proofErr w:type="spellEnd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 xml:space="preserve">, Casa </w:t>
      </w:r>
      <w:r w:rsidRPr="007B11D3">
        <w:rPr>
          <w:rFonts w:eastAsia="Times New Roman" w:cstheme="minorHAnsi"/>
          <w:kern w:val="0"/>
          <w:lang w:val="en-US" w:eastAsia="fr-FR"/>
          <w14:ligatures w14:val="none"/>
        </w:rPr>
        <w:br/>
        <w:t xml:space="preserve">C. Delhaize, </w:t>
      </w:r>
      <w:proofErr w:type="spellStart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Brico</w:t>
      </w:r>
      <w:proofErr w:type="spellEnd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 xml:space="preserve">, </w:t>
      </w:r>
      <w:proofErr w:type="spellStart"/>
      <w:r w:rsidRPr="007B11D3">
        <w:rPr>
          <w:rFonts w:eastAsia="Times New Roman" w:cstheme="minorHAnsi"/>
          <w:kern w:val="0"/>
          <w:lang w:val="en-US" w:eastAsia="fr-FR"/>
          <w14:ligatures w14:val="none"/>
        </w:rPr>
        <w:t>MediaMarkt</w:t>
      </w:r>
      <w:proofErr w:type="spellEnd"/>
    </w:p>
    <w:p w:rsidR="00103E04" w:rsidRPr="0049119D" w:rsidRDefault="00103E04">
      <w:pPr>
        <w:rPr>
          <w:lang w:val="en-US"/>
        </w:rPr>
      </w:pPr>
    </w:p>
    <w:sectPr w:rsidR="00103E04" w:rsidRPr="004911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3E0" w:rsidRDefault="009543E0" w:rsidP="0049119D">
      <w:r>
        <w:separator/>
      </w:r>
    </w:p>
  </w:endnote>
  <w:endnote w:type="continuationSeparator" w:id="0">
    <w:p w:rsidR="009543E0" w:rsidRDefault="009543E0" w:rsidP="0049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3E0" w:rsidRDefault="009543E0" w:rsidP="0049119D">
      <w:r>
        <w:separator/>
      </w:r>
    </w:p>
  </w:footnote>
  <w:footnote w:type="continuationSeparator" w:id="0">
    <w:p w:rsidR="009543E0" w:rsidRDefault="009543E0" w:rsidP="0049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119D" w:rsidRDefault="0049119D" w:rsidP="0049119D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>
      <w:tab/>
    </w:r>
    <w:r w:rsidRPr="00C811BA">
      <w:rPr>
        <w:noProof/>
      </w:rPr>
      <w:drawing>
        <wp:inline distT="0" distB="0" distL="0" distR="0" wp14:anchorId="652579E5" wp14:editId="69C22220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119D" w:rsidRPr="0049119D" w:rsidRDefault="0049119D" w:rsidP="0049119D">
    <w:pPr>
      <w:pStyle w:val="En-tte"/>
      <w:jc w:val="center"/>
      <w:rPr>
        <w:b/>
        <w:bCs/>
      </w:rPr>
    </w:pPr>
    <w:r w:rsidRPr="0049119D">
      <w:rPr>
        <w:b/>
        <w:bCs/>
      </w:rPr>
      <w:t>CORA, c’est fini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9D"/>
    <w:rsid w:val="00103E04"/>
    <w:rsid w:val="0049119D"/>
    <w:rsid w:val="00576346"/>
    <w:rsid w:val="009543E0"/>
    <w:rsid w:val="00A10271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C2E2"/>
  <w15:chartTrackingRefBased/>
  <w15:docId w15:val="{CC241565-B74D-4040-9423-DCE81DF6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1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11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19D"/>
  </w:style>
  <w:style w:type="paragraph" w:styleId="Pieddepage">
    <w:name w:val="footer"/>
    <w:basedOn w:val="Normal"/>
    <w:link w:val="PieddepageCar"/>
    <w:uiPriority w:val="99"/>
    <w:unhideWhenUsed/>
    <w:rsid w:val="004911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1</cp:revision>
  <dcterms:created xsi:type="dcterms:W3CDTF">2025-04-17T08:22:00Z</dcterms:created>
  <dcterms:modified xsi:type="dcterms:W3CDTF">2025-04-17T08:25:00Z</dcterms:modified>
</cp:coreProperties>
</file>